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eastAsia="黑体"/>
          <w:b/>
          <w:color w:val="0C0C0C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Flowchart: Alternate Process 3" o:spid="_x0000_s1026" type="#_x0000_t176" style="position:absolute;left:0;margin-left:-0.9pt;margin-top:-3.2pt;height:28.35pt;width:226.75pt;rotation:0f;z-index:251658240;" o:ole="f" fillcolor="#C0504D" filled="t" o:preferrelative="t" stroked="t" coordorigin="0,0" coordsize="21600,21600" adj="2700">
            <v:stroke weight="3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pacity="50%" offset="1pt,2pt" offset2="-1pt,-2pt" origin="0f,0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eastAsia="黑体"/>
                      <w:b/>
                      <w:color w:val="FFFFFF"/>
                      <w:sz w:val="24"/>
                      <w:szCs w:val="24"/>
                    </w:rPr>
                    <w:t>BDR-2防爆电加热器</w:t>
                  </w:r>
                </w:p>
              </w:txbxContent>
            </v:textbox>
          </v:shape>
        </w:pict>
      </w:r>
    </w:p>
    <w:p>
      <w:pPr>
        <w:jc w:val="left"/>
        <w:rPr>
          <w:rFonts w:ascii="黑体" w:eastAsia="黑体"/>
          <w:b/>
          <w:color w:val="0C0C0C"/>
        </w:rPr>
      </w:pPr>
    </w:p>
    <w:p>
      <w:pPr>
        <w:jc w:val="left"/>
        <w:rPr>
          <w:rFonts w:ascii="黑体" w:eastAsia="黑体"/>
          <w:b/>
          <w:color w:val="0C0C0C"/>
        </w:rPr>
      </w:pPr>
      <w:r>
        <w:rPr>
          <w:rFonts w:hint="eastAsia" w:ascii="黑体" w:eastAsia="黑体"/>
          <w:b/>
          <w:color w:val="0C0C0C"/>
          <w:highlight w:val="lightGray"/>
        </w:rPr>
        <w:t>功能特性：</w:t>
      </w: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 w:cs="Times New Roman"/>
          <w:sz w:val="18"/>
          <w:szCs w:val="18"/>
        </w:rPr>
        <w:t>可用在I区、II区爆炸性气体危险场所，亦可用在21区、22区可燃性粉尘环境，</w:t>
      </w:r>
      <w:r>
        <w:rPr>
          <w:rFonts w:ascii="黑体" w:hAnsi="宋体" w:eastAsia="黑体" w:cs="Times New Roman"/>
          <w:sz w:val="18"/>
          <w:szCs w:val="18"/>
        </w:rPr>
        <w:t>采用先进的防爆结构，可广泛应用在化工、军工、石油、天然气、海上平台、船舶、矿区等需防爆场所</w:t>
      </w:r>
      <w:r>
        <w:rPr>
          <w:rFonts w:hint="eastAsia" w:ascii="黑体" w:hAnsi="宋体" w:eastAsia="黑体"/>
          <w:sz w:val="18"/>
          <w:szCs w:val="18"/>
        </w:rPr>
        <w:t>；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sz w:val="18"/>
          <w:szCs w:val="18"/>
        </w:rPr>
      </w:pPr>
      <w:r>
        <w:rPr>
          <w:rFonts w:ascii="黑体" w:hAnsi="宋体" w:eastAsia="黑体"/>
          <w:sz w:val="18"/>
          <w:szCs w:val="18"/>
        </w:rPr>
        <w:t>加热管在</w:t>
      </w:r>
      <w:r>
        <w:rPr>
          <w:rFonts w:hint="eastAsia" w:ascii="黑体" w:hAnsi="宋体" w:eastAsia="黑体"/>
          <w:sz w:val="18"/>
          <w:szCs w:val="18"/>
        </w:rPr>
        <w:t>采用304</w:t>
      </w:r>
      <w:r>
        <w:rPr>
          <w:rFonts w:ascii="黑体" w:hAnsi="宋体" w:eastAsia="黑体"/>
          <w:sz w:val="18"/>
          <w:szCs w:val="18"/>
        </w:rPr>
        <w:t>无缝不锈钢管</w:t>
      </w:r>
      <w:r>
        <w:rPr>
          <w:rFonts w:hint="eastAsia" w:ascii="黑体" w:hAnsi="宋体" w:eastAsia="黑体"/>
          <w:sz w:val="18"/>
          <w:szCs w:val="18"/>
        </w:rPr>
        <w:t>精制而成，</w:t>
      </w:r>
      <w:r>
        <w:rPr>
          <w:rFonts w:ascii="黑体" w:hAnsi="宋体" w:eastAsia="黑体"/>
          <w:sz w:val="18"/>
          <w:szCs w:val="18"/>
        </w:rPr>
        <w:t>内均匀地分布高温电阻丝，在空隙部分致密地填入导热性能和绝缘性能良好的结晶氧化镁粉</w:t>
      </w:r>
      <w:r>
        <w:rPr>
          <w:rFonts w:hint="eastAsia" w:ascii="黑体" w:hAnsi="宋体" w:eastAsia="黑体"/>
          <w:sz w:val="18"/>
          <w:szCs w:val="18"/>
        </w:rPr>
        <w:t>，</w:t>
      </w:r>
      <w:r>
        <w:rPr>
          <w:rFonts w:ascii="黑体" w:hAnsi="宋体" w:eastAsia="黑体"/>
          <w:sz w:val="18"/>
          <w:szCs w:val="18"/>
        </w:rPr>
        <w:t>使得防爆电加热管热效率高，散热均匀，使用寿命长</w:t>
      </w:r>
      <w:r>
        <w:rPr>
          <w:rFonts w:hint="eastAsia" w:ascii="黑体" w:hAnsi="宋体" w:eastAsia="黑体"/>
          <w:sz w:val="18"/>
          <w:szCs w:val="18"/>
        </w:rPr>
        <w:t>；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加热管内置温度传感保护装置，与外部温度连锁控制系统形成双重保护，使安全更有保障。</w:t>
      </w:r>
      <w:r>
        <w:rPr>
          <w:rFonts w:ascii="黑体" w:hAnsi="宋体" w:eastAsia="黑体"/>
          <w:sz w:val="18"/>
          <w:szCs w:val="18"/>
        </w:rPr>
        <w:t xml:space="preserve"> </w:t>
      </w:r>
    </w:p>
    <w:p>
      <w:pPr>
        <w:jc w:val="left"/>
        <w:rPr>
          <w:rFonts w:ascii="黑体" w:eastAsia="黑体"/>
          <w:b/>
        </w:rPr>
      </w:pPr>
      <w:r>
        <w:rPr>
          <w:rFonts w:hint="eastAsia" w:ascii="黑体" w:eastAsia="黑体"/>
          <w:b/>
          <w:highlight w:val="lightGray"/>
        </w:rPr>
        <w:t>产品描述：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BDR-2防爆电加热器的设计满足Ⅱ</w:t>
      </w:r>
      <w:r>
        <w:rPr>
          <w:rFonts w:hint="eastAsia" w:ascii="黑体" w:hAnsi="宋体" w:eastAsia="黑体"/>
          <w:sz w:val="18"/>
          <w:szCs w:val="18"/>
          <w:lang w:val="en-US" w:eastAsia="zh-CN"/>
        </w:rPr>
        <w:t>C</w:t>
      </w:r>
      <w:r>
        <w:rPr>
          <w:rFonts w:hint="eastAsia" w:ascii="黑体" w:hAnsi="宋体" w:eastAsia="黑体"/>
          <w:sz w:val="18"/>
          <w:szCs w:val="18"/>
        </w:rPr>
        <w:t>气体组以下及可燃性粉尘等极为特殊的环境；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其制造符合GB3836-2010标准的规定。采用科学的隔爆结构达到II</w:t>
      </w:r>
      <w:r>
        <w:rPr>
          <w:rFonts w:hint="eastAsia" w:ascii="黑体" w:hAnsi="宋体" w:eastAsia="黑体"/>
          <w:sz w:val="18"/>
          <w:szCs w:val="18"/>
          <w:lang w:val="en-US" w:eastAsia="zh-CN"/>
        </w:rPr>
        <w:t>C</w:t>
      </w:r>
      <w:bookmarkStart w:id="0" w:name="_GoBack"/>
      <w:bookmarkEnd w:id="0"/>
      <w:r>
        <w:rPr>
          <w:rFonts w:hint="eastAsia" w:ascii="黑体" w:hAnsi="宋体" w:eastAsia="黑体"/>
          <w:sz w:val="18"/>
          <w:szCs w:val="18"/>
        </w:rPr>
        <w:t>防爆要求；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防爆电加热器作为防爆部件，必须与热电偶等温度联锁控制保护系统配合使用；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设备工作时</w:t>
      </w:r>
      <w:r>
        <w:rPr>
          <w:rFonts w:ascii="黑体" w:hAnsi="宋体" w:eastAsia="黑体"/>
          <w:sz w:val="18"/>
          <w:szCs w:val="18"/>
        </w:rPr>
        <w:t>，</w:t>
      </w:r>
      <w:r>
        <w:rPr>
          <w:rFonts w:hint="eastAsia" w:ascii="黑体" w:hAnsi="宋体" w:eastAsia="黑体"/>
          <w:sz w:val="18"/>
          <w:szCs w:val="18"/>
        </w:rPr>
        <w:t>加热管</w:t>
      </w:r>
      <w:r>
        <w:rPr>
          <w:rFonts w:ascii="黑体" w:hAnsi="宋体" w:eastAsia="黑体"/>
          <w:sz w:val="18"/>
          <w:szCs w:val="18"/>
        </w:rPr>
        <w:t>的有效长度必须全部浸在液体中</w:t>
      </w:r>
      <w:r>
        <w:rPr>
          <w:rFonts w:hint="eastAsia" w:ascii="黑体" w:hAnsi="宋体" w:eastAsia="黑体"/>
          <w:sz w:val="18"/>
          <w:szCs w:val="18"/>
        </w:rPr>
        <w:t>，</w:t>
      </w:r>
      <w:r>
        <w:rPr>
          <w:rFonts w:ascii="黑体" w:hAnsi="宋体" w:eastAsia="黑体"/>
          <w:sz w:val="18"/>
          <w:szCs w:val="18"/>
        </w:rPr>
        <w:t>发热部份应与容器壁有一定距离，一般为50—60mm以上</w:t>
      </w:r>
      <w:r>
        <w:rPr>
          <w:rFonts w:hint="eastAsia" w:ascii="黑体" w:hAnsi="宋体" w:eastAsia="黑体"/>
          <w:sz w:val="18"/>
          <w:szCs w:val="18"/>
        </w:rPr>
        <w:t>；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>法兰式安装。</w:t>
      </w:r>
    </w:p>
    <w:p>
      <w:pPr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  <w:highlight w:val="lightGray"/>
        </w:rPr>
        <w:t>订货备注：</w:t>
      </w: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1、额定电压：□AC220V   □AC380V</w:t>
      </w:r>
    </w:p>
    <w:p>
      <w:pPr>
        <w:jc w:val="lef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2、</w:t>
      </w:r>
      <w:r>
        <w:rPr>
          <w:rFonts w:hint="eastAsia" w:ascii="黑体" w:eastAsia="黑体"/>
          <w:kern w:val="0"/>
          <w:sz w:val="18"/>
          <w:szCs w:val="18"/>
        </w:rPr>
        <w:t>额定功率：</w:t>
      </w:r>
      <w:r>
        <w:rPr>
          <w:rFonts w:hint="eastAsia" w:ascii="黑体" w:eastAsia="黑体"/>
          <w:sz w:val="18"/>
          <w:szCs w:val="18"/>
        </w:rPr>
        <w:t>□</w:t>
      </w:r>
      <w:r>
        <w:rPr>
          <w:rFonts w:hint="eastAsia" w:ascii="黑体" w:eastAsia="黑体"/>
          <w:kern w:val="0"/>
          <w:sz w:val="18"/>
          <w:szCs w:val="18"/>
        </w:rPr>
        <w:t>2KW</w:t>
      </w:r>
      <w:r>
        <w:rPr>
          <w:rFonts w:hint="eastAsia" w:ascii="黑体" w:eastAsia="黑体"/>
          <w:sz w:val="18"/>
          <w:szCs w:val="18"/>
        </w:rPr>
        <w:t xml:space="preserve">   □</w:t>
      </w:r>
      <w:r>
        <w:rPr>
          <w:rFonts w:hint="eastAsia" w:ascii="黑体" w:eastAsia="黑体"/>
          <w:kern w:val="0"/>
          <w:sz w:val="18"/>
          <w:szCs w:val="18"/>
        </w:rPr>
        <w:t>3KW</w:t>
      </w:r>
      <w:r>
        <w:rPr>
          <w:rFonts w:hint="eastAsia" w:ascii="黑体" w:eastAsia="黑体"/>
          <w:sz w:val="18"/>
          <w:szCs w:val="18"/>
        </w:rPr>
        <w:t xml:space="preserve">   □</w:t>
      </w:r>
      <w:r>
        <w:rPr>
          <w:rFonts w:hint="eastAsia" w:ascii="黑体" w:eastAsia="黑体"/>
          <w:kern w:val="0"/>
          <w:sz w:val="18"/>
          <w:szCs w:val="18"/>
        </w:rPr>
        <w:t>6KW</w:t>
      </w:r>
      <w:r>
        <w:rPr>
          <w:rFonts w:hint="eastAsia" w:ascii="黑体" w:eastAsia="黑体"/>
          <w:sz w:val="18"/>
          <w:szCs w:val="18"/>
        </w:rPr>
        <w:t xml:space="preserve">   □</w:t>
      </w:r>
      <w:r>
        <w:rPr>
          <w:rFonts w:hint="eastAsia" w:ascii="黑体" w:eastAsia="黑体"/>
          <w:kern w:val="0"/>
          <w:sz w:val="18"/>
          <w:szCs w:val="18"/>
        </w:rPr>
        <w:t>9KW</w:t>
      </w:r>
    </w:p>
    <w:p>
      <w:pPr>
        <w:jc w:val="left"/>
        <w:rPr>
          <w:rFonts w:ascii="黑体" w:eastAsia="黑体"/>
          <w:b/>
        </w:rPr>
      </w:pPr>
      <w:r>
        <w:rPr>
          <w:rFonts w:hint="eastAsia" w:ascii="黑体" w:eastAsia="黑体"/>
          <w:b/>
          <w:highlight w:val="lightGray"/>
        </w:rPr>
        <w:t>外形尺寸：</w:t>
      </w:r>
    </w:p>
    <w:p>
      <w:pPr>
        <w:jc w:val="center"/>
        <w:rPr>
          <w:rFonts w:ascii="黑体" w:eastAsia="黑体"/>
          <w:b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5" o:spid="_x0000_s1027" type="#_x0000_t75" style="height:296.1pt;width:161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0" o:spid="_x0000_s1028" type="#_x0000_t75" style="position:absolute;left:0;margin-left:131.15pt;margin-top:-9.8pt;height:33.3pt;width:112.9pt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</w:p>
    <w:p/>
    <w:p>
      <w:pPr>
        <w:ind w:firstLine="549" w:firstLineChars="196"/>
        <w:jc w:val="left"/>
        <w:rPr>
          <w:b/>
          <w:highlight w:val="lightGray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图片 2" o:spid="_x0000_s1029" type="#_x0000_t75" style="height:103.7pt;width:216.1pt;rotation:589824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b/>
        </w:rPr>
      </w:pPr>
      <w:r>
        <w:rPr>
          <w:rFonts w:hint="eastAsia"/>
          <w:b/>
          <w:highlight w:val="lightGray"/>
        </w:rPr>
        <w:t>技术参数：</w:t>
      </w:r>
    </w:p>
    <w:tbl>
      <w:tblPr>
        <w:tblStyle w:val="8"/>
        <w:tblW w:w="4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shd w:val="clear" w:color="auto" w:fill="A6A6A6"/>
            <w:vAlign w:val="top"/>
          </w:tcPr>
          <w:p>
            <w:pPr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防爆参数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防爆合格证编号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color w:val="0C0C0C"/>
                <w:sz w:val="15"/>
                <w:szCs w:val="15"/>
              </w:rPr>
            </w:pPr>
            <w:r>
              <w:rPr>
                <w:rFonts w:hint="eastAsia" w:ascii="黑体" w:hAnsi="宋体" w:eastAsia="黑体"/>
                <w:color w:val="0C0C0C"/>
                <w:sz w:val="15"/>
                <w:szCs w:val="15"/>
              </w:rPr>
              <w:t>CNEx15.0247U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防爆标志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Ex d IIC Gb/ Ex tD A21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bottom w:val="single" w:color="80808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防护级别</w:t>
            </w:r>
          </w:p>
        </w:tc>
        <w:tc>
          <w:tcPr>
            <w:tcW w:w="3402" w:type="dxa"/>
            <w:tcBorders>
              <w:bottom w:val="single" w:color="80808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hAnsi="宋体" w:eastAsia="黑体"/>
                <w:sz w:val="15"/>
                <w:szCs w:val="15"/>
              </w:rPr>
              <w:t>IP65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6A6A6"/>
            <w:vAlign w:val="top"/>
          </w:tcPr>
          <w:p>
            <w:pPr>
              <w:jc w:val="left"/>
              <w:rPr>
                <w:rFonts w:ascii="黑体" w:eastAsia="黑体"/>
                <w:b/>
                <w:sz w:val="15"/>
                <w:szCs w:val="15"/>
              </w:rPr>
            </w:pPr>
            <w:r>
              <w:rPr>
                <w:rFonts w:hint="eastAsia" w:ascii="黑体" w:eastAsia="黑体"/>
                <w:b/>
                <w:sz w:val="15"/>
                <w:szCs w:val="15"/>
              </w:rPr>
              <w:t>电气参数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80808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额定电压</w:t>
            </w:r>
          </w:p>
        </w:tc>
        <w:tc>
          <w:tcPr>
            <w:tcW w:w="3402" w:type="dxa"/>
            <w:tcBorders>
              <w:top w:val="single" w:color="80808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AC220V/AC380V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额定功率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2KW/3KW/6KW/9KW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工作频率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50Hz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加热介质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水/油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shd w:val="clear" w:color="auto" w:fill="A6A6A6"/>
            <w:vAlign w:val="top"/>
          </w:tcPr>
          <w:p>
            <w:pPr>
              <w:jc w:val="left"/>
              <w:rPr>
                <w:rFonts w:ascii="黑体" w:eastAsia="黑体"/>
                <w:b/>
                <w:sz w:val="15"/>
                <w:szCs w:val="15"/>
              </w:rPr>
            </w:pPr>
            <w:r>
              <w:rPr>
                <w:rFonts w:hint="eastAsia" w:ascii="黑体" w:eastAsia="黑体"/>
                <w:b/>
                <w:sz w:val="15"/>
                <w:szCs w:val="15"/>
              </w:rPr>
              <w:t>机械参数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材质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碳钢Q235A（标配）其它材质请联系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bottom w:val="single" w:color="00000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电缆引入装置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G3/4*1/ G3/4*2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bottom w:val="single" w:color="00000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外形尺寸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600-1100mm*Φ115mm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bottom w:val="single" w:color="00000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加热管定制长度</w:t>
            </w:r>
          </w:p>
        </w:tc>
        <w:tc>
          <w:tcPr>
            <w:tcW w:w="3402" w:type="dxa"/>
            <w:tcBorders>
              <w:bottom w:val="single" w:color="000000" w:sz="4" w:space="0"/>
            </w:tcBorders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500-1000mm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8" w:type="dxa"/>
            <w:gridSpan w:val="2"/>
            <w:shd w:val="clear" w:color="auto" w:fill="A6A6A6"/>
            <w:vAlign w:val="top"/>
          </w:tcPr>
          <w:p>
            <w:pPr>
              <w:jc w:val="left"/>
              <w:rPr>
                <w:rFonts w:ascii="黑体" w:eastAsia="黑体"/>
                <w:b/>
                <w:sz w:val="15"/>
                <w:szCs w:val="15"/>
              </w:rPr>
            </w:pPr>
            <w:r>
              <w:rPr>
                <w:rFonts w:hint="eastAsia" w:ascii="黑体" w:eastAsia="黑体"/>
                <w:b/>
                <w:sz w:val="15"/>
                <w:szCs w:val="15"/>
              </w:rPr>
              <w:t>环境指标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大气压力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80～106KPa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相对湿度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≤95%RH(+25℃)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海拔高度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≤2000m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环境温度</w:t>
            </w:r>
          </w:p>
        </w:tc>
        <w:tc>
          <w:tcPr>
            <w:tcW w:w="3402" w:type="dxa"/>
            <w:vAlign w:val="top"/>
          </w:tcPr>
          <w:p>
            <w:pPr>
              <w:jc w:val="left"/>
              <w:rPr>
                <w:rFonts w:ascii="黑体" w:eastAsia="黑体"/>
                <w:sz w:val="15"/>
                <w:szCs w:val="15"/>
              </w:rPr>
            </w:pPr>
            <w:r>
              <w:rPr>
                <w:rFonts w:hint="eastAsia" w:ascii="黑体" w:eastAsia="黑体"/>
                <w:sz w:val="15"/>
                <w:szCs w:val="15"/>
              </w:rPr>
              <w:t>-45℃~+60℃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  <w:highlight w:val="lightGray"/>
        </w:rPr>
        <w:t>可选件：</w:t>
      </w:r>
    </w:p>
    <w:p>
      <w:pPr>
        <w:ind w:firstLine="42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防爆接线盒            防爆挠性连接管</w:t>
      </w:r>
    </w:p>
    <w:p>
      <w:pPr>
        <w:ind w:firstLine="105" w:firstLineChars="50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2" o:spid="_x0000_s1030" type="#_x0000_t75" style="height:81.65pt;width:79.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 xml:space="preserve">        </w:t>
      </w:r>
      <w:r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7" o:spid="_x0000_s1031" type="#_x0000_t75" style="height:87.95pt;width:89.7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27" w:firstLineChars="250"/>
        <w:rPr>
          <w:b/>
        </w:rPr>
      </w:pPr>
    </w:p>
    <w:p>
      <w:pPr>
        <w:ind w:firstLine="527" w:firstLineChars="250"/>
        <w:jc w:val="left"/>
        <w:rPr>
          <w:b/>
        </w:rPr>
      </w:pPr>
      <w:r>
        <w:rPr>
          <w:rFonts w:hint="eastAsia"/>
          <w:b/>
        </w:rPr>
        <w:t xml:space="preserve">         </w:t>
      </w:r>
    </w:p>
    <w:sectPr>
      <w:footerReference r:id="rId4" w:type="default"/>
      <w:pgSz w:w="11906" w:h="16838"/>
      <w:pgMar w:top="851" w:right="851" w:bottom="851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auto"/>
    <w:pitch w:val="default"/>
    <w:sig w:usb0="E10002FF" w:usb1="4000ACFF" w:usb2="00000009" w:usb3="00000000" w:csb0="2000019F" w:csb1="00000000"/>
  </w:font>
  <w:font w:name="Perpetua">
    <w:altName w:val="Georgia"/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thinThickSmallGap" w:color="622423" w:sz="24" w:space="0"/>
      </w:pBdr>
      <w:rPr>
        <w:rFonts w:ascii="黑体" w:hAnsi="Cambria" w:eastAsia="黑体"/>
        <w:sz w:val="15"/>
        <w:szCs w:val="15"/>
      </w:rPr>
    </w:pPr>
    <w:r>
      <w:rPr>
        <w:rFonts w:hint="eastAsia" w:ascii="黑体" w:hAnsi="Cambria" w:eastAsia="黑体"/>
      </w:rPr>
      <w:t xml:space="preserve">南阳市一通防爆电气有限公司 </w:t>
    </w:r>
    <w:r>
      <w:rPr>
        <w:rFonts w:hint="eastAsia" w:ascii="黑体" w:hAnsi="Cambria" w:eastAsia="黑体"/>
        <w:sz w:val="15"/>
        <w:szCs w:val="15"/>
      </w:rPr>
      <w:t xml:space="preserve">    地址:河南省南阳市伏牛路生态工业园区</w:t>
    </w:r>
    <w:r>
      <w:rPr>
        <w:rFonts w:hint="eastAsia" w:ascii="黑体" w:hAnsi="Cambria" w:eastAsia="黑体"/>
      </w:rPr>
      <w:t xml:space="preserve"> </w:t>
    </w:r>
    <w:r>
      <w:rPr>
        <w:rFonts w:hint="eastAsia" w:ascii="黑体" w:hAnsi="Cambria" w:eastAsia="黑体"/>
        <w:sz w:val="15"/>
        <w:szCs w:val="15"/>
      </w:rPr>
      <w:t xml:space="preserve">    电话:0377-63215016/61616099</w:t>
    </w:r>
    <w:r>
      <w:rPr>
        <w:rFonts w:hint="eastAsia" w:ascii="黑体" w:hAnsi="Cambria" w:eastAsia="黑体"/>
      </w:rPr>
      <w:t xml:space="preserve"> </w:t>
    </w:r>
    <w:r>
      <w:rPr>
        <w:rFonts w:hint="eastAsia" w:ascii="黑体" w:hAnsi="Cambria" w:eastAsia="黑体"/>
        <w:sz w:val="15"/>
        <w:szCs w:val="15"/>
      </w:rPr>
      <w:t xml:space="preserve">    网址:www.yitongex.com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1242119">
    <w:nsid w:val="32245607"/>
    <w:multiLevelType w:val="multilevel"/>
    <w:tmpl w:val="32245607"/>
    <w:lvl w:ilvl="0" w:tentative="1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  <w:color w:val="97480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41242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E3497"/>
    <w:rsid w:val="00001C38"/>
    <w:rsid w:val="00004D51"/>
    <w:rsid w:val="00011582"/>
    <w:rsid w:val="00024C37"/>
    <w:rsid w:val="000250BC"/>
    <w:rsid w:val="00030B4C"/>
    <w:rsid w:val="00031DF8"/>
    <w:rsid w:val="00034493"/>
    <w:rsid w:val="00043BAB"/>
    <w:rsid w:val="00064212"/>
    <w:rsid w:val="000736E0"/>
    <w:rsid w:val="000A1DB4"/>
    <w:rsid w:val="000A66BF"/>
    <w:rsid w:val="000B64C8"/>
    <w:rsid w:val="000E3497"/>
    <w:rsid w:val="000E3FDB"/>
    <w:rsid w:val="000F05E6"/>
    <w:rsid w:val="00100E1E"/>
    <w:rsid w:val="00102A85"/>
    <w:rsid w:val="00125079"/>
    <w:rsid w:val="00151AB9"/>
    <w:rsid w:val="00157C25"/>
    <w:rsid w:val="00172BCA"/>
    <w:rsid w:val="00174C13"/>
    <w:rsid w:val="00184E94"/>
    <w:rsid w:val="00190991"/>
    <w:rsid w:val="001A19B8"/>
    <w:rsid w:val="001A5736"/>
    <w:rsid w:val="001D3471"/>
    <w:rsid w:val="001D4432"/>
    <w:rsid w:val="001D6993"/>
    <w:rsid w:val="001D6C35"/>
    <w:rsid w:val="001E07E6"/>
    <w:rsid w:val="001F36F7"/>
    <w:rsid w:val="00204CA7"/>
    <w:rsid w:val="00220539"/>
    <w:rsid w:val="00230D33"/>
    <w:rsid w:val="00241500"/>
    <w:rsid w:val="00263A9C"/>
    <w:rsid w:val="0026695C"/>
    <w:rsid w:val="00271A29"/>
    <w:rsid w:val="00286407"/>
    <w:rsid w:val="0028755B"/>
    <w:rsid w:val="002B5C5D"/>
    <w:rsid w:val="003166C2"/>
    <w:rsid w:val="00322304"/>
    <w:rsid w:val="003438F1"/>
    <w:rsid w:val="00360F0A"/>
    <w:rsid w:val="0036130E"/>
    <w:rsid w:val="00361D56"/>
    <w:rsid w:val="00375576"/>
    <w:rsid w:val="0038142E"/>
    <w:rsid w:val="003A3078"/>
    <w:rsid w:val="003C352B"/>
    <w:rsid w:val="003D7E8C"/>
    <w:rsid w:val="00416EB1"/>
    <w:rsid w:val="00433801"/>
    <w:rsid w:val="00444385"/>
    <w:rsid w:val="0044525B"/>
    <w:rsid w:val="00445E81"/>
    <w:rsid w:val="00447D43"/>
    <w:rsid w:val="004618F0"/>
    <w:rsid w:val="00466200"/>
    <w:rsid w:val="00466AD2"/>
    <w:rsid w:val="00467663"/>
    <w:rsid w:val="00484D58"/>
    <w:rsid w:val="00487E89"/>
    <w:rsid w:val="00493845"/>
    <w:rsid w:val="00497496"/>
    <w:rsid w:val="004C65EF"/>
    <w:rsid w:val="00506253"/>
    <w:rsid w:val="00511AE5"/>
    <w:rsid w:val="00516DED"/>
    <w:rsid w:val="00526936"/>
    <w:rsid w:val="005A58FE"/>
    <w:rsid w:val="005A59D3"/>
    <w:rsid w:val="005B4F3C"/>
    <w:rsid w:val="005D5ED3"/>
    <w:rsid w:val="005E0421"/>
    <w:rsid w:val="005E6F07"/>
    <w:rsid w:val="005F6730"/>
    <w:rsid w:val="0060769D"/>
    <w:rsid w:val="00621817"/>
    <w:rsid w:val="006407B7"/>
    <w:rsid w:val="00640DCA"/>
    <w:rsid w:val="0064397B"/>
    <w:rsid w:val="006450EC"/>
    <w:rsid w:val="006532BB"/>
    <w:rsid w:val="00662D3C"/>
    <w:rsid w:val="006817E6"/>
    <w:rsid w:val="006B236F"/>
    <w:rsid w:val="006D2BED"/>
    <w:rsid w:val="006E0B2D"/>
    <w:rsid w:val="007021D2"/>
    <w:rsid w:val="007337A4"/>
    <w:rsid w:val="00736071"/>
    <w:rsid w:val="00736D5A"/>
    <w:rsid w:val="007604C4"/>
    <w:rsid w:val="00763085"/>
    <w:rsid w:val="007B6387"/>
    <w:rsid w:val="007D66CA"/>
    <w:rsid w:val="007E2403"/>
    <w:rsid w:val="007E4F3B"/>
    <w:rsid w:val="007F2826"/>
    <w:rsid w:val="007F3083"/>
    <w:rsid w:val="007F7A9B"/>
    <w:rsid w:val="00801685"/>
    <w:rsid w:val="00822CD3"/>
    <w:rsid w:val="00827E2F"/>
    <w:rsid w:val="0084457D"/>
    <w:rsid w:val="00851F22"/>
    <w:rsid w:val="00877ED3"/>
    <w:rsid w:val="00881A8C"/>
    <w:rsid w:val="00882DE1"/>
    <w:rsid w:val="008C2BF1"/>
    <w:rsid w:val="008C402B"/>
    <w:rsid w:val="008E10A6"/>
    <w:rsid w:val="008E32B3"/>
    <w:rsid w:val="008F3AEC"/>
    <w:rsid w:val="00925B4F"/>
    <w:rsid w:val="009366A1"/>
    <w:rsid w:val="00950044"/>
    <w:rsid w:val="00953560"/>
    <w:rsid w:val="00954769"/>
    <w:rsid w:val="00957F28"/>
    <w:rsid w:val="00964E97"/>
    <w:rsid w:val="0096603C"/>
    <w:rsid w:val="0098023A"/>
    <w:rsid w:val="0098394B"/>
    <w:rsid w:val="00995FB0"/>
    <w:rsid w:val="009B05FC"/>
    <w:rsid w:val="009C2E28"/>
    <w:rsid w:val="009D69C0"/>
    <w:rsid w:val="009E4915"/>
    <w:rsid w:val="009F5A2C"/>
    <w:rsid w:val="00A03983"/>
    <w:rsid w:val="00A04C68"/>
    <w:rsid w:val="00A072FA"/>
    <w:rsid w:val="00A52C3D"/>
    <w:rsid w:val="00A60681"/>
    <w:rsid w:val="00A67453"/>
    <w:rsid w:val="00A7377E"/>
    <w:rsid w:val="00A75928"/>
    <w:rsid w:val="00A85D3F"/>
    <w:rsid w:val="00AA7378"/>
    <w:rsid w:val="00AB5772"/>
    <w:rsid w:val="00AB765F"/>
    <w:rsid w:val="00AD7814"/>
    <w:rsid w:val="00AE11AD"/>
    <w:rsid w:val="00B028BF"/>
    <w:rsid w:val="00B04C51"/>
    <w:rsid w:val="00B1090F"/>
    <w:rsid w:val="00B12317"/>
    <w:rsid w:val="00B13DCC"/>
    <w:rsid w:val="00B178DC"/>
    <w:rsid w:val="00B225C5"/>
    <w:rsid w:val="00B65103"/>
    <w:rsid w:val="00B72537"/>
    <w:rsid w:val="00B84F33"/>
    <w:rsid w:val="00BB7613"/>
    <w:rsid w:val="00BD018F"/>
    <w:rsid w:val="00BD1E09"/>
    <w:rsid w:val="00BF0823"/>
    <w:rsid w:val="00BF6610"/>
    <w:rsid w:val="00C06FB6"/>
    <w:rsid w:val="00C11043"/>
    <w:rsid w:val="00C33600"/>
    <w:rsid w:val="00C42E19"/>
    <w:rsid w:val="00C61A88"/>
    <w:rsid w:val="00C646E2"/>
    <w:rsid w:val="00C85C99"/>
    <w:rsid w:val="00C96681"/>
    <w:rsid w:val="00CB24DF"/>
    <w:rsid w:val="00CB2A90"/>
    <w:rsid w:val="00CD60E0"/>
    <w:rsid w:val="00CD65A9"/>
    <w:rsid w:val="00CE7741"/>
    <w:rsid w:val="00CF6D49"/>
    <w:rsid w:val="00D151E1"/>
    <w:rsid w:val="00D16712"/>
    <w:rsid w:val="00D204FD"/>
    <w:rsid w:val="00D3188D"/>
    <w:rsid w:val="00D34C55"/>
    <w:rsid w:val="00D34C71"/>
    <w:rsid w:val="00D44F1C"/>
    <w:rsid w:val="00D85A52"/>
    <w:rsid w:val="00DA73AE"/>
    <w:rsid w:val="00DC5829"/>
    <w:rsid w:val="00DC5C4D"/>
    <w:rsid w:val="00DD46FF"/>
    <w:rsid w:val="00DD5730"/>
    <w:rsid w:val="00DF2670"/>
    <w:rsid w:val="00E5079C"/>
    <w:rsid w:val="00E54DE4"/>
    <w:rsid w:val="00E57D97"/>
    <w:rsid w:val="00E613A6"/>
    <w:rsid w:val="00E63E17"/>
    <w:rsid w:val="00E67521"/>
    <w:rsid w:val="00E85ABD"/>
    <w:rsid w:val="00E85D9A"/>
    <w:rsid w:val="00E90496"/>
    <w:rsid w:val="00EC00CA"/>
    <w:rsid w:val="00ED438A"/>
    <w:rsid w:val="00EF1D8B"/>
    <w:rsid w:val="00F000D6"/>
    <w:rsid w:val="00F16184"/>
    <w:rsid w:val="00F353A5"/>
    <w:rsid w:val="00F40FC3"/>
    <w:rsid w:val="00F4282D"/>
    <w:rsid w:val="00F43FDE"/>
    <w:rsid w:val="00F7605A"/>
    <w:rsid w:val="00F7638F"/>
    <w:rsid w:val="00F77D73"/>
    <w:rsid w:val="00F82A78"/>
    <w:rsid w:val="00F91D7D"/>
    <w:rsid w:val="00F94476"/>
    <w:rsid w:val="00F95CD3"/>
    <w:rsid w:val="00FB0CBA"/>
    <w:rsid w:val="00FC22AD"/>
    <w:rsid w:val="00FC3269"/>
    <w:rsid w:val="00FE31F2"/>
    <w:rsid w:val="00FE4056"/>
    <w:rsid w:val="508544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CC9900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No Spacing"/>
    <w:basedOn w:val="1"/>
    <w:qFormat/>
    <w:uiPriority w:val="1"/>
    <w:pPr>
      <w:widowControl/>
      <w:jc w:val="left"/>
    </w:pPr>
    <w:rPr>
      <w:rFonts w:ascii="Perpetua" w:hAnsi="Perpetua" w:eastAsia="宋体" w:cs="Times New Roman"/>
      <w:color w:val="000000"/>
      <w:kern w:val="0"/>
      <w:sz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718</Characters>
  <Lines>5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2015-07-03T01:17:00Z</dcterms:created>
  <dc:creator>微软用户</dc:creator>
  <cp:lastModifiedBy>Administrator</cp:lastModifiedBy>
  <cp:lastPrinted>2015-03-13T01:53:00Z</cp:lastPrinted>
  <dcterms:modified xsi:type="dcterms:W3CDTF">2015-09-06T03:28:22Z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